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F53" w:rsidRDefault="00083132">
      <w:pPr>
        <w:spacing w:before="5" w:after="1450"/>
        <w:textAlignment w:val="baseline"/>
      </w:pPr>
      <w:r>
        <w:rPr>
          <w:noProof/>
          <w:lang w:val="en-AU" w:eastAsia="en-AU"/>
        </w:rPr>
        <w:drawing>
          <wp:inline distT="0" distB="0" distL="0" distR="0">
            <wp:extent cx="7559040" cy="2023745"/>
            <wp:effectExtent l="0" t="0" r="3810" b="0"/>
            <wp:docPr id="1" name="Picture" descr="Logo" title="Australian Goverment and 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9040" cy="2023745"/>
                    </a:xfrm>
                    <a:prstGeom prst="rect">
                      <a:avLst/>
                    </a:prstGeom>
                  </pic:spPr>
                </pic:pic>
              </a:graphicData>
            </a:graphic>
          </wp:inline>
        </w:drawing>
      </w:r>
    </w:p>
    <w:p w:rsidR="00970F53" w:rsidRDefault="00083132">
      <w:pPr>
        <w:spacing w:before="344"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Joint Statement of Strategic Intent and</w:t>
      </w:r>
    </w:p>
    <w:p w:rsidR="00970F53" w:rsidRDefault="00083132">
      <w:pPr>
        <w:spacing w:before="113" w:line="568" w:lineRule="exact"/>
        <w:jc w:val="center"/>
        <w:textAlignment w:val="baseline"/>
        <w:rPr>
          <w:rFonts w:ascii="Calibri" w:eastAsia="Calibri" w:hAnsi="Calibri"/>
          <w:b/>
          <w:color w:val="004876"/>
          <w:sz w:val="55"/>
        </w:rPr>
      </w:pPr>
      <w:r>
        <w:rPr>
          <w:rFonts w:ascii="Calibri" w:eastAsia="Calibri" w:hAnsi="Calibri"/>
          <w:b/>
          <w:color w:val="004876"/>
          <w:sz w:val="55"/>
        </w:rPr>
        <w:t>Cooperation</w:t>
      </w:r>
    </w:p>
    <w:p w:rsidR="00970F53" w:rsidRDefault="00083132">
      <w:pPr>
        <w:spacing w:before="1074" w:line="567"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Between</w:t>
      </w:r>
    </w:p>
    <w:p w:rsidR="00970F53" w:rsidRDefault="00083132">
      <w:pPr>
        <w:spacing w:before="1027" w:line="567"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Australian Space Agency</w:t>
      </w:r>
    </w:p>
    <w:p w:rsidR="00970F53" w:rsidRDefault="00083132">
      <w:pPr>
        <w:spacing w:before="1026" w:line="567" w:lineRule="exact"/>
        <w:jc w:val="center"/>
        <w:textAlignment w:val="baseline"/>
        <w:rPr>
          <w:rFonts w:ascii="Calibri" w:eastAsia="Calibri" w:hAnsi="Calibri"/>
          <w:b/>
          <w:color w:val="004876"/>
          <w:spacing w:val="-10"/>
          <w:sz w:val="55"/>
        </w:rPr>
      </w:pPr>
      <w:proofErr w:type="gramStart"/>
      <w:r>
        <w:rPr>
          <w:rFonts w:ascii="Calibri" w:eastAsia="Calibri" w:hAnsi="Calibri"/>
          <w:b/>
          <w:color w:val="004876"/>
          <w:spacing w:val="-10"/>
          <w:sz w:val="55"/>
        </w:rPr>
        <w:t>and</w:t>
      </w:r>
      <w:proofErr w:type="gramEnd"/>
    </w:p>
    <w:p w:rsidR="00970F53" w:rsidRDefault="00083132">
      <w:pPr>
        <w:spacing w:before="1027" w:after="3081" w:line="568" w:lineRule="exact"/>
        <w:jc w:val="center"/>
        <w:textAlignment w:val="baseline"/>
        <w:rPr>
          <w:rFonts w:ascii="Calibri" w:eastAsia="Calibri" w:hAnsi="Calibri"/>
          <w:b/>
          <w:color w:val="004876"/>
          <w:sz w:val="55"/>
        </w:rPr>
      </w:pPr>
      <w:r>
        <w:rPr>
          <w:rFonts w:ascii="Calibri" w:eastAsia="Calibri" w:hAnsi="Calibri"/>
          <w:b/>
          <w:color w:val="004876"/>
          <w:sz w:val="55"/>
        </w:rPr>
        <w:t>Nova Systems</w:t>
      </w:r>
    </w:p>
    <w:p w:rsidR="00970F53" w:rsidRDefault="00970F53">
      <w:pPr>
        <w:spacing w:before="1027" w:after="3081" w:line="568" w:lineRule="exact"/>
        <w:sectPr w:rsidR="00970F53">
          <w:pgSz w:w="11904" w:h="16843"/>
          <w:pgMar w:top="0" w:right="0" w:bottom="287" w:left="0" w:header="720" w:footer="720" w:gutter="0"/>
          <w:cols w:space="720"/>
        </w:sectPr>
      </w:pPr>
    </w:p>
    <w:p w:rsidR="00970F53" w:rsidRDefault="00083132">
      <w:pPr>
        <w:spacing w:after="107" w:line="96" w:lineRule="exact"/>
        <w:ind w:left="1018" w:right="984"/>
        <w:textAlignment w:val="baseline"/>
      </w:pPr>
      <w:r>
        <w:rPr>
          <w:noProof/>
          <w:lang w:val="en-AU" w:eastAsia="en-AU"/>
        </w:rPr>
        <w:drawing>
          <wp:inline distT="0" distB="0" distL="0" distR="0">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6287770" cy="60960"/>
                    </a:xfrm>
                    <a:prstGeom prst="rect">
                      <a:avLst/>
                    </a:prstGeom>
                  </pic:spPr>
                </pic:pic>
              </a:graphicData>
            </a:graphic>
          </wp:inline>
        </w:drawing>
      </w:r>
    </w:p>
    <w:p w:rsidR="00970F53" w:rsidRDefault="00083132">
      <w:pPr>
        <w:tabs>
          <w:tab w:val="left" w:pos="9936"/>
        </w:tabs>
        <w:spacing w:before="20" w:line="185" w:lineRule="exact"/>
        <w:ind w:left="1008"/>
        <w:textAlignment w:val="baseline"/>
        <w:rPr>
          <w:rFonts w:ascii="Calibri" w:eastAsia="Calibri" w:hAnsi="Calibri"/>
          <w:b/>
          <w:color w:val="004876"/>
          <w:sz w:val="18"/>
        </w:rPr>
      </w:pPr>
      <w:r>
        <w:rPr>
          <w:rFonts w:ascii="Calibri" w:eastAsia="Calibri" w:hAnsi="Calibri"/>
          <w:b/>
          <w:color w:val="004876"/>
          <w:sz w:val="18"/>
        </w:rPr>
        <w:t>Australian Space Agency</w:t>
      </w:r>
      <w:r>
        <w:rPr>
          <w:rFonts w:ascii="Calibri" w:eastAsia="Calibri" w:hAnsi="Calibri"/>
          <w:b/>
          <w:color w:val="004876"/>
          <w:sz w:val="18"/>
        </w:rPr>
        <w:tab/>
      </w:r>
      <w:hyperlink r:id="rId7">
        <w:r>
          <w:rPr>
            <w:rFonts w:ascii="Calibri" w:eastAsia="Calibri" w:hAnsi="Calibri"/>
            <w:b/>
            <w:color w:val="0000FF"/>
            <w:sz w:val="18"/>
            <w:u w:val="single"/>
          </w:rPr>
          <w:t>space.gov.au</w:t>
        </w:r>
      </w:hyperlink>
      <w:r>
        <w:rPr>
          <w:rFonts w:ascii="Calibri" w:eastAsia="Calibri" w:hAnsi="Calibri"/>
          <w:b/>
          <w:color w:val="004876"/>
          <w:sz w:val="18"/>
        </w:rPr>
        <w:t xml:space="preserve"> </w:t>
      </w:r>
    </w:p>
    <w:p w:rsidR="00970F53" w:rsidRDefault="00970F53">
      <w:pPr>
        <w:sectPr w:rsidR="00970F53">
          <w:type w:val="continuous"/>
          <w:pgSz w:w="11904" w:h="16843"/>
          <w:pgMar w:top="0" w:right="0" w:bottom="287" w:left="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237"/>
        <w:gridCol w:w="2428"/>
        <w:gridCol w:w="5535"/>
      </w:tblGrid>
      <w:tr w:rsidR="00970F53">
        <w:trPr>
          <w:trHeight w:hRule="exact" w:val="525"/>
        </w:trPr>
        <w:tc>
          <w:tcPr>
            <w:tcW w:w="1237" w:type="dxa"/>
            <w:vMerge w:val="restart"/>
            <w:tcBorders>
              <w:top w:val="none" w:sz="0" w:space="0" w:color="000000"/>
              <w:left w:val="none" w:sz="0" w:space="0" w:color="000000"/>
              <w:bottom w:val="single" w:sz="0" w:space="0" w:color="000000"/>
              <w:right w:val="none" w:sz="0" w:space="0" w:color="000000"/>
            </w:tcBorders>
          </w:tcPr>
          <w:p w:rsidR="00970F53" w:rsidRDefault="00083132">
            <w:pPr>
              <w:spacing w:after="13"/>
              <w:ind w:left="123"/>
              <w:jc w:val="right"/>
              <w:textAlignment w:val="baseline"/>
            </w:pPr>
            <w:r>
              <w:rPr>
                <w:noProof/>
                <w:lang w:val="en-AU" w:eastAsia="en-AU"/>
              </w:rPr>
              <w:lastRenderedPageBreak/>
              <w:drawing>
                <wp:inline distT="0" distB="0" distL="0" distR="0">
                  <wp:extent cx="707390" cy="536575"/>
                  <wp:effectExtent l="0" t="0" r="0" b="0"/>
                  <wp:docPr id="3" name="Picture" descr="Logo element" title="Australian Government crest"/>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707390" cy="536575"/>
                          </a:xfrm>
                          <a:prstGeom prst="rect">
                            <a:avLst/>
                          </a:prstGeom>
                        </pic:spPr>
                      </pic:pic>
                    </a:graphicData>
                  </a:graphic>
                </wp:inline>
              </w:drawing>
            </w:r>
          </w:p>
        </w:tc>
        <w:tc>
          <w:tcPr>
            <w:tcW w:w="2428" w:type="dxa"/>
            <w:tcBorders>
              <w:top w:val="single" w:sz="4" w:space="0" w:color="525251"/>
              <w:left w:val="none" w:sz="0" w:space="0" w:color="000000"/>
              <w:bottom w:val="single" w:sz="4" w:space="0" w:color="525251"/>
              <w:right w:val="none" w:sz="0" w:space="0" w:color="000000"/>
            </w:tcBorders>
            <w:vAlign w:val="center"/>
          </w:tcPr>
          <w:p w:rsidR="00970F53" w:rsidRDefault="00083132">
            <w:pPr>
              <w:spacing w:before="235" w:after="55" w:line="233" w:lineRule="exact"/>
              <w:ind w:right="36"/>
              <w:jc w:val="right"/>
              <w:textAlignment w:val="baseline"/>
              <w:rPr>
                <w:rFonts w:eastAsia="Times New Roman"/>
                <w:b/>
                <w:color w:val="000000"/>
                <w:sz w:val="21"/>
              </w:rPr>
            </w:pPr>
            <w:r>
              <w:rPr>
                <w:rFonts w:eastAsia="Times New Roman"/>
                <w:b/>
                <w:color w:val="000000"/>
                <w:sz w:val="21"/>
              </w:rPr>
              <w:t>Australian Government</w:t>
            </w:r>
          </w:p>
        </w:tc>
        <w:tc>
          <w:tcPr>
            <w:tcW w:w="5535" w:type="dxa"/>
            <w:vMerge w:val="restart"/>
            <w:tcBorders>
              <w:top w:val="none" w:sz="0" w:space="0" w:color="000000"/>
              <w:left w:val="none" w:sz="0" w:space="0" w:color="000000"/>
              <w:bottom w:val="single" w:sz="0" w:space="0" w:color="000000"/>
              <w:right w:val="none" w:sz="0" w:space="0" w:color="000000"/>
            </w:tcBorders>
            <w:vAlign w:val="center"/>
          </w:tcPr>
          <w:p w:rsidR="00970F53" w:rsidRDefault="00083132">
            <w:pPr>
              <w:spacing w:before="212" w:after="158" w:line="484" w:lineRule="exact"/>
              <w:ind w:right="14"/>
              <w:jc w:val="right"/>
              <w:textAlignment w:val="baseline"/>
              <w:rPr>
                <w:rFonts w:eastAsia="Times New Roman"/>
                <w:color w:val="000000"/>
                <w:w w:val="95"/>
                <w:sz w:val="42"/>
              </w:rPr>
            </w:pPr>
            <w:r>
              <w:rPr>
                <w:rFonts w:eastAsia="Times New Roman"/>
                <w:color w:val="000000"/>
                <w:w w:val="95"/>
                <w:sz w:val="42"/>
              </w:rPr>
              <w:t>Nova Systems</w:t>
            </w:r>
          </w:p>
        </w:tc>
      </w:tr>
      <w:tr w:rsidR="00970F53">
        <w:trPr>
          <w:trHeight w:hRule="exact" w:val="333"/>
        </w:trPr>
        <w:tc>
          <w:tcPr>
            <w:tcW w:w="1237" w:type="dxa"/>
            <w:vMerge/>
            <w:tcBorders>
              <w:top w:val="single" w:sz="0" w:space="0" w:color="000000"/>
              <w:left w:val="none" w:sz="0" w:space="0" w:color="000000"/>
              <w:bottom w:val="none" w:sz="0" w:space="0" w:color="000000"/>
              <w:right w:val="none" w:sz="0" w:space="0" w:color="000000"/>
            </w:tcBorders>
          </w:tcPr>
          <w:p w:rsidR="00970F53" w:rsidRDefault="00970F53"/>
        </w:tc>
        <w:tc>
          <w:tcPr>
            <w:tcW w:w="2428" w:type="dxa"/>
            <w:tcBorders>
              <w:top w:val="single" w:sz="4" w:space="0" w:color="525251"/>
              <w:left w:val="none" w:sz="0" w:space="0" w:color="000000"/>
              <w:bottom w:val="none" w:sz="0" w:space="0" w:color="000000"/>
              <w:right w:val="none" w:sz="0" w:space="0" w:color="000000"/>
            </w:tcBorders>
            <w:vAlign w:val="center"/>
          </w:tcPr>
          <w:p w:rsidR="00970F53" w:rsidRDefault="00083132">
            <w:pPr>
              <w:spacing w:before="81" w:after="15" w:line="233" w:lineRule="exact"/>
              <w:ind w:right="36"/>
              <w:jc w:val="right"/>
              <w:textAlignment w:val="baseline"/>
              <w:rPr>
                <w:rFonts w:eastAsia="Times New Roman"/>
                <w:b/>
                <w:color w:val="000000"/>
                <w:sz w:val="21"/>
              </w:rPr>
            </w:pPr>
            <w:r>
              <w:rPr>
                <w:rFonts w:eastAsia="Times New Roman"/>
                <w:b/>
                <w:color w:val="000000"/>
                <w:sz w:val="21"/>
              </w:rPr>
              <w:t>Australian Space Agency</w:t>
            </w:r>
          </w:p>
        </w:tc>
        <w:tc>
          <w:tcPr>
            <w:tcW w:w="5535" w:type="dxa"/>
            <w:vMerge/>
            <w:tcBorders>
              <w:top w:val="single" w:sz="0" w:space="0" w:color="000000"/>
              <w:left w:val="none" w:sz="0" w:space="0" w:color="000000"/>
              <w:bottom w:val="none" w:sz="0" w:space="0" w:color="000000"/>
              <w:right w:val="none" w:sz="0" w:space="0" w:color="000000"/>
            </w:tcBorders>
            <w:vAlign w:val="center"/>
          </w:tcPr>
          <w:p w:rsidR="00970F53" w:rsidRDefault="00970F53"/>
        </w:tc>
      </w:tr>
    </w:tbl>
    <w:p w:rsidR="00970F53" w:rsidRDefault="00970F53">
      <w:pPr>
        <w:spacing w:after="664" w:line="20" w:lineRule="exact"/>
      </w:pPr>
    </w:p>
    <w:p w:rsidR="00970F53" w:rsidRDefault="00083132">
      <w:pPr>
        <w:spacing w:before="118" w:line="220" w:lineRule="exact"/>
        <w:jc w:val="center"/>
        <w:textAlignment w:val="baseline"/>
        <w:rPr>
          <w:rFonts w:ascii="Verdana" w:eastAsia="Verdana" w:hAnsi="Verdana"/>
          <w:b/>
          <w:color w:val="000000"/>
          <w:spacing w:val="-1"/>
          <w:sz w:val="18"/>
        </w:rPr>
      </w:pPr>
      <w:r>
        <w:rPr>
          <w:rFonts w:ascii="Verdana" w:eastAsia="Verdana" w:hAnsi="Verdana"/>
          <w:b/>
          <w:color w:val="000000"/>
          <w:spacing w:val="-1"/>
          <w:sz w:val="18"/>
        </w:rPr>
        <w:t>NOVA SYSTEMS</w:t>
      </w:r>
    </w:p>
    <w:p w:rsidR="00970F53" w:rsidRDefault="00083132">
      <w:pPr>
        <w:spacing w:before="114" w:line="220" w:lineRule="exact"/>
        <w:jc w:val="center"/>
        <w:textAlignment w:val="baseline"/>
        <w:rPr>
          <w:rFonts w:ascii="Verdana" w:eastAsia="Verdana" w:hAnsi="Verdana"/>
          <w:b/>
          <w:color w:val="000000"/>
          <w:sz w:val="18"/>
        </w:rPr>
      </w:pPr>
      <w:r>
        <w:rPr>
          <w:rFonts w:ascii="Verdana" w:eastAsia="Verdana" w:hAnsi="Verdana"/>
          <w:b/>
          <w:color w:val="000000"/>
          <w:sz w:val="18"/>
        </w:rPr>
        <w:t>STATEMENT OF STRATEGIC INTENT AND COOPERATION WITH</w:t>
      </w:r>
    </w:p>
    <w:p w:rsidR="00970F53" w:rsidRDefault="00083132">
      <w:pPr>
        <w:spacing w:before="123" w:line="220" w:lineRule="exact"/>
        <w:jc w:val="center"/>
        <w:textAlignment w:val="baseline"/>
        <w:rPr>
          <w:rFonts w:ascii="Verdana" w:eastAsia="Verdana" w:hAnsi="Verdana"/>
          <w:b/>
          <w:color w:val="000000"/>
          <w:sz w:val="18"/>
        </w:rPr>
      </w:pPr>
      <w:r>
        <w:rPr>
          <w:rFonts w:ascii="Verdana" w:eastAsia="Verdana" w:hAnsi="Verdana"/>
          <w:b/>
          <w:color w:val="000000"/>
          <w:sz w:val="18"/>
        </w:rPr>
        <w:t>THE AUSTRALIAN SPACE AGENCY</w:t>
      </w:r>
    </w:p>
    <w:p w:rsidR="00970F53" w:rsidRDefault="00083132">
      <w:pPr>
        <w:spacing w:before="455" w:line="220" w:lineRule="exact"/>
        <w:ind w:right="648"/>
        <w:textAlignment w:val="baseline"/>
        <w:rPr>
          <w:rFonts w:ascii="Verdana" w:eastAsia="Verdana" w:hAnsi="Verdana"/>
          <w:color w:val="000000"/>
          <w:sz w:val="18"/>
        </w:rPr>
      </w:pPr>
      <w:r>
        <w:rPr>
          <w:rFonts w:ascii="Verdana" w:eastAsia="Verdana" w:hAnsi="Verdana"/>
          <w:color w:val="000000"/>
          <w:sz w:val="18"/>
        </w:rPr>
        <w:t xml:space="preserve">The Australian Space Agency, an Australian government agency within the Department of Industry, Innovation and Science, hereinafter referred to as "the Agency" and represented by </w:t>
      </w:r>
      <w:proofErr w:type="spellStart"/>
      <w:r>
        <w:rPr>
          <w:rFonts w:ascii="Verdana" w:eastAsia="Verdana" w:hAnsi="Verdana"/>
          <w:color w:val="000000"/>
          <w:sz w:val="18"/>
        </w:rPr>
        <w:t>Dr</w:t>
      </w:r>
      <w:proofErr w:type="spellEnd"/>
      <w:r>
        <w:rPr>
          <w:rFonts w:ascii="Verdana" w:eastAsia="Verdana" w:hAnsi="Verdana"/>
          <w:color w:val="000000"/>
          <w:sz w:val="18"/>
        </w:rPr>
        <w:t xml:space="preserve"> Megan Clark AC, Head Australian Space Agency</w:t>
      </w:r>
    </w:p>
    <w:p w:rsidR="00970F53" w:rsidRDefault="00083132">
      <w:pPr>
        <w:spacing w:before="125" w:line="220" w:lineRule="exact"/>
        <w:textAlignment w:val="baseline"/>
        <w:rPr>
          <w:rFonts w:ascii="Verdana" w:eastAsia="Verdana" w:hAnsi="Verdana"/>
          <w:color w:val="000000"/>
          <w:spacing w:val="27"/>
          <w:sz w:val="18"/>
        </w:rPr>
      </w:pPr>
      <w:proofErr w:type="gramStart"/>
      <w:r>
        <w:rPr>
          <w:rFonts w:ascii="Verdana" w:eastAsia="Verdana" w:hAnsi="Verdana"/>
          <w:color w:val="000000"/>
          <w:spacing w:val="27"/>
          <w:sz w:val="18"/>
        </w:rPr>
        <w:t>and</w:t>
      </w:r>
      <w:proofErr w:type="gramEnd"/>
    </w:p>
    <w:p w:rsidR="00970F53" w:rsidRDefault="00083132">
      <w:pPr>
        <w:spacing w:before="113" w:line="220" w:lineRule="exact"/>
        <w:ind w:right="1152"/>
        <w:textAlignment w:val="baseline"/>
        <w:rPr>
          <w:rFonts w:ascii="Verdana" w:eastAsia="Verdana" w:hAnsi="Verdana"/>
          <w:color w:val="000000"/>
          <w:sz w:val="18"/>
        </w:rPr>
      </w:pPr>
      <w:r>
        <w:rPr>
          <w:rFonts w:ascii="Verdana" w:eastAsia="Verdana" w:hAnsi="Verdana"/>
          <w:color w:val="000000"/>
          <w:sz w:val="18"/>
        </w:rPr>
        <w:t xml:space="preserve">Nova Systems Australia, hereinafter referred to as "Nova" and represented by Mr Steven Robinson, Chief Executive, </w:t>
      </w:r>
      <w:proofErr w:type="gramStart"/>
      <w:r>
        <w:rPr>
          <w:rFonts w:ascii="Verdana" w:eastAsia="Verdana" w:hAnsi="Verdana"/>
          <w:color w:val="000000"/>
          <w:sz w:val="18"/>
        </w:rPr>
        <w:t>Nova</w:t>
      </w:r>
      <w:proofErr w:type="gramEnd"/>
      <w:r>
        <w:rPr>
          <w:rFonts w:ascii="Verdana" w:eastAsia="Verdana" w:hAnsi="Verdana"/>
          <w:color w:val="000000"/>
          <w:sz w:val="18"/>
        </w:rPr>
        <w:t xml:space="preserve"> Systems Australia.</w:t>
      </w:r>
    </w:p>
    <w:p w:rsidR="00970F53" w:rsidRDefault="00083132">
      <w:pPr>
        <w:spacing w:before="457" w:line="220" w:lineRule="exact"/>
        <w:ind w:right="360"/>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the Agency's purpose is to transform and grow the Australian space sector and the broader use of space across the Australian economy and to inspire and deliver benefit to all Australians;</w:t>
      </w:r>
    </w:p>
    <w:p w:rsidR="00970F53" w:rsidRDefault="00083132">
      <w:pPr>
        <w:spacing w:before="459" w:line="220" w:lineRule="exact"/>
        <w:ind w:right="216"/>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the Agency areas of strategic priority include communication; operations and ground stations; position, navigation and timing; space situational awareness; research and development; earth observation and remote asset management in space and on earth;</w:t>
      </w:r>
    </w:p>
    <w:p w:rsidR="00970F53" w:rsidRDefault="00083132">
      <w:pPr>
        <w:spacing w:before="457" w:line="220" w:lineRule="exact"/>
        <w:ind w:right="360"/>
        <w:textAlignment w:val="baseline"/>
        <w:rPr>
          <w:rFonts w:ascii="Verdana" w:eastAsia="Verdana" w:hAnsi="Verdana"/>
          <w:i/>
          <w:color w:val="000000"/>
          <w:spacing w:val="-1"/>
          <w:sz w:val="18"/>
        </w:rPr>
      </w:pPr>
      <w:r>
        <w:rPr>
          <w:rFonts w:ascii="Verdana" w:eastAsia="Verdana" w:hAnsi="Verdana"/>
          <w:i/>
          <w:color w:val="000000"/>
          <w:spacing w:val="-1"/>
          <w:sz w:val="18"/>
        </w:rPr>
        <w:t xml:space="preserve">Recalling </w:t>
      </w:r>
      <w:r>
        <w:rPr>
          <w:rFonts w:ascii="Verdana" w:eastAsia="Verdana" w:hAnsi="Verdana"/>
          <w:color w:val="000000"/>
          <w:spacing w:val="-1"/>
          <w:sz w:val="18"/>
        </w:rPr>
        <w:t>that the Agency is responsible for whole-of-government coordination of civil space matters and is the primary source of advice to the Australian Government on civil space policy including: Providing national policy and strategic advice on the civil space sector; Coordinating Australia's domestic civil space sector activities; Supporting the growth of Australia's space industry and the use of space across the broader economy; Leading international civil space engagement; Administering space activities legislation and delivering on our international obligations; Inspiring the Australian community and the next generation of space entrepreneurs.</w:t>
      </w:r>
    </w:p>
    <w:p w:rsidR="00970F53" w:rsidRDefault="00083132">
      <w:pPr>
        <w:spacing w:before="454" w:line="220" w:lineRule="exact"/>
        <w:ind w:right="288"/>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 xml:space="preserve">that Nova is an Australian company </w:t>
      </w:r>
      <w:proofErr w:type="spellStart"/>
      <w:r>
        <w:rPr>
          <w:rFonts w:ascii="Verdana" w:eastAsia="Verdana" w:hAnsi="Verdana"/>
          <w:color w:val="000000"/>
          <w:sz w:val="18"/>
        </w:rPr>
        <w:t>specialising</w:t>
      </w:r>
      <w:proofErr w:type="spellEnd"/>
      <w:r>
        <w:rPr>
          <w:rFonts w:ascii="Verdana" w:eastAsia="Verdana" w:hAnsi="Verdana"/>
          <w:color w:val="000000"/>
          <w:sz w:val="18"/>
        </w:rPr>
        <w:t xml:space="preserve"> in the provision of engineering and management services, providing industry and government with world class independent expertise in delivering complex projects and solving technologically challenging problems;</w:t>
      </w:r>
    </w:p>
    <w:p w:rsidR="00970F53" w:rsidRDefault="00083132">
      <w:pPr>
        <w:spacing w:before="463" w:line="220" w:lineRule="exact"/>
        <w:ind w:right="216"/>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Nova's strategic purpose is to play a significant role in the space sector by providing a leading operational capability in future satellite communications, data analytics, complex system modelling, system safety, and space situational awareness technologies through:</w:t>
      </w:r>
    </w:p>
    <w:p w:rsidR="00970F53" w:rsidRDefault="00083132">
      <w:pPr>
        <w:spacing w:before="111" w:line="220" w:lineRule="exact"/>
        <w:ind w:left="720"/>
        <w:textAlignment w:val="baseline"/>
        <w:rPr>
          <w:rFonts w:ascii="Verdana" w:eastAsia="Verdana" w:hAnsi="Verdana"/>
          <w:color w:val="000000"/>
          <w:sz w:val="18"/>
        </w:rPr>
      </w:pPr>
      <w:proofErr w:type="gramStart"/>
      <w:r>
        <w:rPr>
          <w:rFonts w:ascii="Verdana" w:eastAsia="Verdana" w:hAnsi="Verdana"/>
          <w:color w:val="000000"/>
          <w:sz w:val="18"/>
        </w:rPr>
        <w:t>extensive</w:t>
      </w:r>
      <w:proofErr w:type="gramEnd"/>
      <w:r>
        <w:rPr>
          <w:rFonts w:ascii="Verdana" w:eastAsia="Verdana" w:hAnsi="Verdana"/>
          <w:color w:val="000000"/>
          <w:sz w:val="18"/>
        </w:rPr>
        <w:t xml:space="preserve"> satellite and range services capabilities;</w:t>
      </w:r>
    </w:p>
    <w:p w:rsidR="00970F53" w:rsidRDefault="00083132">
      <w:pPr>
        <w:spacing w:before="6" w:line="220" w:lineRule="exact"/>
        <w:jc w:val="center"/>
        <w:textAlignment w:val="baseline"/>
        <w:rPr>
          <w:rFonts w:ascii="Verdana" w:eastAsia="Verdana" w:hAnsi="Verdana"/>
          <w:color w:val="000000"/>
          <w:sz w:val="18"/>
        </w:rPr>
      </w:pPr>
      <w:proofErr w:type="gramStart"/>
      <w:r>
        <w:rPr>
          <w:rFonts w:ascii="Verdana" w:eastAsia="Verdana" w:hAnsi="Verdana"/>
          <w:color w:val="000000"/>
          <w:sz w:val="18"/>
        </w:rPr>
        <w:t>a</w:t>
      </w:r>
      <w:proofErr w:type="gramEnd"/>
      <w:r>
        <w:rPr>
          <w:rFonts w:ascii="Verdana" w:eastAsia="Verdana" w:hAnsi="Verdana"/>
          <w:color w:val="000000"/>
          <w:sz w:val="18"/>
        </w:rPr>
        <w:t xml:space="preserve"> proven assurance offering enabling complex systems of systems capabilities;</w:t>
      </w:r>
    </w:p>
    <w:p w:rsidR="00970F53" w:rsidRDefault="00083132">
      <w:pPr>
        <w:spacing w:line="216" w:lineRule="exact"/>
        <w:ind w:left="720"/>
        <w:textAlignment w:val="baseline"/>
        <w:rPr>
          <w:rFonts w:ascii="Verdana" w:eastAsia="Verdana" w:hAnsi="Verdana"/>
          <w:color w:val="000000"/>
          <w:sz w:val="18"/>
        </w:rPr>
      </w:pPr>
      <w:proofErr w:type="gramStart"/>
      <w:r>
        <w:rPr>
          <w:rFonts w:ascii="Verdana" w:eastAsia="Verdana" w:hAnsi="Verdana"/>
          <w:color w:val="000000"/>
          <w:sz w:val="18"/>
        </w:rPr>
        <w:t>current</w:t>
      </w:r>
      <w:proofErr w:type="gramEnd"/>
      <w:r>
        <w:rPr>
          <w:rFonts w:ascii="Verdana" w:eastAsia="Verdana" w:hAnsi="Verdana"/>
          <w:color w:val="000000"/>
          <w:sz w:val="18"/>
        </w:rPr>
        <w:t xml:space="preserve"> research and development in satellite ground segment; and</w:t>
      </w:r>
    </w:p>
    <w:p w:rsidR="00970F53" w:rsidRDefault="00083132">
      <w:pPr>
        <w:numPr>
          <w:ilvl w:val="0"/>
          <w:numId w:val="1"/>
        </w:numPr>
        <w:tabs>
          <w:tab w:val="clear" w:pos="288"/>
          <w:tab w:val="left" w:pos="720"/>
        </w:tabs>
        <w:spacing w:before="1" w:line="220" w:lineRule="exact"/>
        <w:ind w:left="432"/>
        <w:textAlignment w:val="baseline"/>
        <w:rPr>
          <w:rFonts w:ascii="Verdana" w:eastAsia="Verdana" w:hAnsi="Verdana"/>
          <w:color w:val="000000"/>
          <w:sz w:val="18"/>
        </w:rPr>
      </w:pPr>
      <w:proofErr w:type="gramStart"/>
      <w:r>
        <w:rPr>
          <w:rFonts w:ascii="Verdana" w:eastAsia="Verdana" w:hAnsi="Verdana"/>
          <w:color w:val="000000"/>
          <w:sz w:val="18"/>
        </w:rPr>
        <w:t>skills</w:t>
      </w:r>
      <w:proofErr w:type="gramEnd"/>
      <w:r>
        <w:rPr>
          <w:rFonts w:ascii="Verdana" w:eastAsia="Verdana" w:hAnsi="Verdana"/>
          <w:color w:val="000000"/>
          <w:sz w:val="18"/>
        </w:rPr>
        <w:t xml:space="preserve"> in space data exploitation and software development.</w:t>
      </w:r>
    </w:p>
    <w:p w:rsidR="00970F53" w:rsidRDefault="00083132">
      <w:pPr>
        <w:spacing w:before="449" w:line="220" w:lineRule="exact"/>
        <w:ind w:right="216"/>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Nova's depth of specialist space segment knowledge and experience in the acquisition, introduction into service, and certification of large, space-based capabilities, uniquely equips Nova to provide training, certification, systems safety and engineering support to the nation's space sector in the strategic areas of communications, operations and ground segment, and space situational awareness.</w:t>
      </w:r>
    </w:p>
    <w:p w:rsidR="00970F53" w:rsidRDefault="00970F53">
      <w:pPr>
        <w:sectPr w:rsidR="00970F53">
          <w:pgSz w:w="11914" w:h="16848"/>
          <w:pgMar w:top="940" w:right="1263" w:bottom="1892" w:left="1451" w:header="720" w:footer="720" w:gutter="0"/>
          <w:cols w:space="720"/>
        </w:sectPr>
      </w:pPr>
    </w:p>
    <w:p w:rsidR="00970F53" w:rsidRDefault="00083132">
      <w:pPr>
        <w:spacing w:before="15" w:line="220" w:lineRule="exact"/>
        <w:ind w:left="72" w:right="360"/>
        <w:textAlignment w:val="baseline"/>
        <w:rPr>
          <w:rFonts w:ascii="Verdana" w:eastAsia="Verdana" w:hAnsi="Verdana"/>
          <w:i/>
          <w:color w:val="000000"/>
          <w:sz w:val="18"/>
        </w:rPr>
      </w:pPr>
      <w:r>
        <w:rPr>
          <w:rFonts w:ascii="Verdana" w:eastAsia="Verdana" w:hAnsi="Verdana"/>
          <w:i/>
          <w:color w:val="000000"/>
          <w:sz w:val="18"/>
        </w:rPr>
        <w:lastRenderedPageBreak/>
        <w:t xml:space="preserve">Acknowledging </w:t>
      </w:r>
      <w:r>
        <w:rPr>
          <w:rFonts w:ascii="Verdana" w:eastAsia="Verdana" w:hAnsi="Verdana"/>
          <w:color w:val="000000"/>
          <w:sz w:val="18"/>
        </w:rPr>
        <w:t>that the Agency and Nova share the objective of enhancing the capability and competitiveness of Australian industry and promoting investments in space capabilities and capacities, that will support smart growth and highly qualified jobs as well as improving the day-to-day lives of all Australians through innovative products and services;</w:t>
      </w:r>
    </w:p>
    <w:p w:rsidR="00970F53" w:rsidRDefault="00083132">
      <w:pPr>
        <w:spacing w:before="449" w:line="222" w:lineRule="exact"/>
        <w:ind w:left="72" w:right="864"/>
        <w:textAlignment w:val="baseline"/>
        <w:rPr>
          <w:rFonts w:ascii="Verdana" w:eastAsia="Verdana" w:hAnsi="Verdana"/>
          <w:i/>
          <w:color w:val="000000"/>
          <w:sz w:val="18"/>
        </w:rPr>
      </w:pPr>
      <w:r>
        <w:rPr>
          <w:rFonts w:ascii="Verdana" w:eastAsia="Verdana" w:hAnsi="Verdana"/>
          <w:i/>
          <w:color w:val="000000"/>
          <w:sz w:val="18"/>
        </w:rPr>
        <w:t xml:space="preserve">Acknowledging </w:t>
      </w:r>
      <w:r>
        <w:rPr>
          <w:rFonts w:ascii="Verdana" w:eastAsia="Verdana" w:hAnsi="Verdana"/>
          <w:color w:val="000000"/>
          <w:sz w:val="18"/>
        </w:rPr>
        <w:t>that the Agency as an Australian government agency is committed to open, transparent and significant industry engagement;</w:t>
      </w:r>
    </w:p>
    <w:p w:rsidR="00970F53" w:rsidRDefault="00083132">
      <w:pPr>
        <w:spacing w:before="445" w:line="221" w:lineRule="exact"/>
        <w:ind w:left="72" w:right="216"/>
        <w:textAlignment w:val="baseline"/>
        <w:rPr>
          <w:rFonts w:ascii="Verdana" w:eastAsia="Verdana" w:hAnsi="Verdana"/>
          <w:i/>
          <w:color w:val="000000"/>
          <w:sz w:val="18"/>
        </w:rPr>
      </w:pPr>
      <w:r>
        <w:rPr>
          <w:rFonts w:ascii="Verdana" w:eastAsia="Verdana" w:hAnsi="Verdana"/>
          <w:i/>
          <w:color w:val="000000"/>
          <w:sz w:val="18"/>
        </w:rPr>
        <w:t xml:space="preserve">Acknowledging </w:t>
      </w:r>
      <w:r>
        <w:rPr>
          <w:rFonts w:ascii="Verdana" w:eastAsia="Verdana" w:hAnsi="Verdana"/>
          <w:color w:val="000000"/>
          <w:sz w:val="18"/>
        </w:rPr>
        <w:t xml:space="preserve">that Nova has a proven history of supporting capability assurance for Government and Industry across the Air, Land, </w:t>
      </w:r>
      <w:proofErr w:type="gramStart"/>
      <w:r>
        <w:rPr>
          <w:rFonts w:ascii="Verdana" w:eastAsia="Verdana" w:hAnsi="Verdana"/>
          <w:color w:val="000000"/>
          <w:sz w:val="18"/>
        </w:rPr>
        <w:t>Sea</w:t>
      </w:r>
      <w:proofErr w:type="gramEnd"/>
      <w:r>
        <w:rPr>
          <w:rFonts w:ascii="Verdana" w:eastAsia="Verdana" w:hAnsi="Verdana"/>
          <w:color w:val="000000"/>
          <w:sz w:val="18"/>
        </w:rPr>
        <w:t xml:space="preserve"> and Space domains and has extensive experience and corporate knowledge in this area. Nova Systems will leverage their experience in delivering new Satellite Communications Capabilities under the many phases of 3P2008 (Wideband Global SATCOM Capabilities), Hypersonic Trials under the </w:t>
      </w:r>
      <w:proofErr w:type="spellStart"/>
      <w:r>
        <w:rPr>
          <w:rFonts w:ascii="Verdana" w:eastAsia="Verdana" w:hAnsi="Verdana"/>
          <w:color w:val="000000"/>
          <w:sz w:val="18"/>
        </w:rPr>
        <w:t>HiFire</w:t>
      </w:r>
      <w:proofErr w:type="spellEnd"/>
      <w:r>
        <w:rPr>
          <w:rFonts w:ascii="Verdana" w:eastAsia="Verdana" w:hAnsi="Verdana"/>
          <w:color w:val="000000"/>
          <w:sz w:val="18"/>
        </w:rPr>
        <w:t xml:space="preserve"> Program and experience as a Registered Training </w:t>
      </w:r>
      <w:proofErr w:type="spellStart"/>
      <w:r>
        <w:rPr>
          <w:rFonts w:ascii="Verdana" w:eastAsia="Verdana" w:hAnsi="Verdana"/>
          <w:color w:val="000000"/>
          <w:sz w:val="18"/>
        </w:rPr>
        <w:t>Organisation</w:t>
      </w:r>
      <w:proofErr w:type="spellEnd"/>
      <w:r>
        <w:rPr>
          <w:rFonts w:ascii="Verdana" w:eastAsia="Verdana" w:hAnsi="Verdana"/>
          <w:color w:val="000000"/>
          <w:sz w:val="18"/>
        </w:rPr>
        <w:t xml:space="preserve"> (RTO) delivering specialist capability assurance training, to support the Australian Space Agency's vision.</w:t>
      </w:r>
    </w:p>
    <w:p w:rsidR="00970F53" w:rsidRDefault="00083132">
      <w:pPr>
        <w:spacing w:before="449" w:line="222" w:lineRule="exact"/>
        <w:ind w:left="72" w:right="360"/>
        <w:textAlignment w:val="baseline"/>
        <w:rPr>
          <w:rFonts w:ascii="Verdana" w:eastAsia="Verdana" w:hAnsi="Verdana"/>
          <w:color w:val="000000"/>
          <w:sz w:val="18"/>
        </w:rPr>
      </w:pPr>
      <w:r>
        <w:rPr>
          <w:rFonts w:ascii="Verdana" w:eastAsia="Verdana" w:hAnsi="Verdana"/>
          <w:color w:val="000000"/>
          <w:sz w:val="18"/>
        </w:rPr>
        <w:t>Through this Statement, Nova acknowledges the following current projects, areas of strategic interest and growth, potential new areas of collaboration and support for education and training which are of interest to the nation.</w:t>
      </w:r>
    </w:p>
    <w:p w:rsidR="00970F53" w:rsidRDefault="00083132">
      <w:pPr>
        <w:numPr>
          <w:ilvl w:val="0"/>
          <w:numId w:val="2"/>
        </w:numPr>
        <w:tabs>
          <w:tab w:val="clear" w:pos="360"/>
          <w:tab w:val="left" w:pos="864"/>
        </w:tabs>
        <w:spacing w:before="125" w:line="216" w:lineRule="exact"/>
        <w:ind w:left="504"/>
        <w:textAlignment w:val="baseline"/>
        <w:rPr>
          <w:rFonts w:ascii="Verdana" w:eastAsia="Verdana" w:hAnsi="Verdana"/>
          <w:color w:val="000000"/>
          <w:sz w:val="18"/>
        </w:rPr>
      </w:pPr>
      <w:r>
        <w:rPr>
          <w:rFonts w:ascii="Verdana" w:eastAsia="Verdana" w:hAnsi="Verdana"/>
          <w:color w:val="000000"/>
          <w:sz w:val="18"/>
        </w:rPr>
        <w:t>Next Generation Ground Stations</w:t>
      </w:r>
    </w:p>
    <w:p w:rsidR="00970F53" w:rsidRDefault="00083132">
      <w:pPr>
        <w:spacing w:before="112" w:line="223" w:lineRule="exact"/>
        <w:ind w:left="864" w:right="216"/>
        <w:textAlignment w:val="baseline"/>
        <w:rPr>
          <w:rFonts w:ascii="Verdana" w:eastAsia="Verdana" w:hAnsi="Verdana"/>
          <w:color w:val="000000"/>
          <w:sz w:val="18"/>
        </w:rPr>
      </w:pPr>
      <w:r>
        <w:rPr>
          <w:rFonts w:ascii="Verdana" w:eastAsia="Verdana" w:hAnsi="Verdana"/>
          <w:color w:val="000000"/>
          <w:sz w:val="18"/>
        </w:rPr>
        <w:t xml:space="preserve">The development of next-generation ground stations, with a focus on </w:t>
      </w:r>
      <w:proofErr w:type="spellStart"/>
      <w:r>
        <w:rPr>
          <w:rFonts w:ascii="Verdana" w:eastAsia="Verdana" w:hAnsi="Verdana"/>
          <w:color w:val="000000"/>
          <w:sz w:val="18"/>
        </w:rPr>
        <w:t>optimised</w:t>
      </w:r>
      <w:proofErr w:type="spellEnd"/>
      <w:r>
        <w:rPr>
          <w:rFonts w:ascii="Verdana" w:eastAsia="Verdana" w:hAnsi="Verdana"/>
          <w:color w:val="000000"/>
          <w:sz w:val="18"/>
        </w:rPr>
        <w:t xml:space="preserve"> servicing of large constellations of small, non-geostationary satellites and the provision of advanced modelling of complex systems and data analytics.</w:t>
      </w:r>
    </w:p>
    <w:p w:rsidR="00970F53" w:rsidRDefault="00083132">
      <w:pPr>
        <w:numPr>
          <w:ilvl w:val="0"/>
          <w:numId w:val="2"/>
        </w:numPr>
        <w:tabs>
          <w:tab w:val="clear" w:pos="360"/>
          <w:tab w:val="left" w:pos="864"/>
        </w:tabs>
        <w:spacing w:before="116" w:line="225" w:lineRule="exact"/>
        <w:ind w:left="504"/>
        <w:textAlignment w:val="baseline"/>
        <w:rPr>
          <w:rFonts w:ascii="Verdana" w:eastAsia="Verdana" w:hAnsi="Verdana"/>
          <w:color w:val="000000"/>
          <w:sz w:val="18"/>
        </w:rPr>
      </w:pPr>
      <w:r>
        <w:rPr>
          <w:rFonts w:ascii="Verdana" w:eastAsia="Verdana" w:hAnsi="Verdana"/>
          <w:color w:val="000000"/>
          <w:sz w:val="18"/>
        </w:rPr>
        <w:t>Space Situational Awareness Analytics</w:t>
      </w:r>
    </w:p>
    <w:p w:rsidR="00970F53" w:rsidRDefault="00083132">
      <w:pPr>
        <w:spacing w:before="105" w:line="223" w:lineRule="exact"/>
        <w:ind w:left="864" w:right="360"/>
        <w:textAlignment w:val="baseline"/>
        <w:rPr>
          <w:rFonts w:ascii="Verdana" w:eastAsia="Verdana" w:hAnsi="Verdana"/>
          <w:color w:val="000000"/>
          <w:spacing w:val="-2"/>
          <w:sz w:val="18"/>
        </w:rPr>
      </w:pPr>
      <w:r>
        <w:rPr>
          <w:rFonts w:ascii="Verdana" w:eastAsia="Verdana" w:hAnsi="Verdana"/>
          <w:color w:val="000000"/>
          <w:spacing w:val="-2"/>
          <w:sz w:val="18"/>
        </w:rPr>
        <w:t>The use and development of tools and analytics for operational space enabled situational awareness, along with improvements to the user experience and the problem of fusing information.</w:t>
      </w:r>
    </w:p>
    <w:p w:rsidR="00970F53" w:rsidRDefault="00083132">
      <w:pPr>
        <w:numPr>
          <w:ilvl w:val="0"/>
          <w:numId w:val="2"/>
        </w:numPr>
        <w:tabs>
          <w:tab w:val="clear" w:pos="360"/>
          <w:tab w:val="left" w:pos="864"/>
        </w:tabs>
        <w:spacing w:before="120" w:line="219" w:lineRule="exact"/>
        <w:ind w:left="504"/>
        <w:textAlignment w:val="baseline"/>
        <w:rPr>
          <w:rFonts w:ascii="Verdana" w:eastAsia="Verdana" w:hAnsi="Verdana"/>
          <w:color w:val="000000"/>
          <w:spacing w:val="-1"/>
          <w:sz w:val="18"/>
        </w:rPr>
      </w:pPr>
      <w:r>
        <w:rPr>
          <w:rFonts w:ascii="Verdana" w:eastAsia="Verdana" w:hAnsi="Verdana"/>
          <w:color w:val="000000"/>
          <w:spacing w:val="-1"/>
          <w:sz w:val="18"/>
        </w:rPr>
        <w:t>Space Capability Training</w:t>
      </w:r>
    </w:p>
    <w:p w:rsidR="00970F53" w:rsidRDefault="00083132">
      <w:pPr>
        <w:spacing w:before="119" w:line="221" w:lineRule="exact"/>
        <w:ind w:left="864" w:right="72"/>
        <w:textAlignment w:val="baseline"/>
        <w:rPr>
          <w:rFonts w:ascii="Verdana" w:eastAsia="Verdana" w:hAnsi="Verdana"/>
          <w:color w:val="000000"/>
          <w:sz w:val="18"/>
        </w:rPr>
      </w:pPr>
      <w:r>
        <w:rPr>
          <w:rFonts w:ascii="Verdana" w:eastAsia="Verdana" w:hAnsi="Verdana"/>
          <w:color w:val="000000"/>
          <w:sz w:val="18"/>
        </w:rPr>
        <w:t>Development and provision of a unique, executive-level training course for senior executives with space responsibilities to educate them on space capabilities and their acquisition. Continued offering of student internships in various aerospace areas to support the pipeline of future space engineers.</w:t>
      </w:r>
    </w:p>
    <w:p w:rsidR="00970F53" w:rsidRDefault="00083132">
      <w:pPr>
        <w:numPr>
          <w:ilvl w:val="0"/>
          <w:numId w:val="2"/>
        </w:numPr>
        <w:tabs>
          <w:tab w:val="clear" w:pos="360"/>
          <w:tab w:val="left" w:pos="864"/>
        </w:tabs>
        <w:spacing w:before="115" w:line="221" w:lineRule="exact"/>
        <w:ind w:left="504"/>
        <w:textAlignment w:val="baseline"/>
        <w:rPr>
          <w:rFonts w:ascii="Verdana" w:eastAsia="Verdana" w:hAnsi="Verdana"/>
          <w:color w:val="000000"/>
          <w:sz w:val="18"/>
        </w:rPr>
      </w:pPr>
      <w:r>
        <w:rPr>
          <w:rFonts w:ascii="Verdana" w:eastAsia="Verdana" w:hAnsi="Verdana"/>
          <w:color w:val="000000"/>
          <w:sz w:val="18"/>
        </w:rPr>
        <w:t>Capability Assurance Services</w:t>
      </w:r>
    </w:p>
    <w:p w:rsidR="00970F53" w:rsidRDefault="00083132">
      <w:pPr>
        <w:spacing w:before="114" w:line="222" w:lineRule="exact"/>
        <w:ind w:left="864"/>
        <w:textAlignment w:val="baseline"/>
        <w:rPr>
          <w:rFonts w:ascii="Verdana" w:eastAsia="Verdana" w:hAnsi="Verdana"/>
          <w:color w:val="000000"/>
          <w:sz w:val="18"/>
        </w:rPr>
      </w:pPr>
      <w:r>
        <w:rPr>
          <w:rFonts w:ascii="Verdana" w:eastAsia="Verdana" w:hAnsi="Verdana"/>
          <w:color w:val="000000"/>
          <w:sz w:val="18"/>
        </w:rPr>
        <w:t>Provision of capability assurance services to enable Australasian space launch.</w:t>
      </w:r>
    </w:p>
    <w:p w:rsidR="00970F53" w:rsidRDefault="00083132">
      <w:pPr>
        <w:spacing w:before="458" w:line="222" w:lineRule="exact"/>
        <w:ind w:left="72" w:right="360"/>
        <w:textAlignment w:val="baseline"/>
        <w:rPr>
          <w:rFonts w:ascii="Verdana" w:eastAsia="Verdana" w:hAnsi="Verdana"/>
          <w:color w:val="000000"/>
          <w:sz w:val="18"/>
        </w:rPr>
      </w:pPr>
      <w:r>
        <w:rPr>
          <w:rFonts w:ascii="Verdana" w:eastAsia="Verdana" w:hAnsi="Verdana"/>
          <w:color w:val="000000"/>
          <w:sz w:val="18"/>
        </w:rPr>
        <w:t>This Statement constitutes the expression of both parties' intention to continue discussions. This statement does not create legal obligations between the parties and does not establish the obligation to enter into a certain agreement.</w:t>
      </w:r>
    </w:p>
    <w:p w:rsidR="00970F53" w:rsidRDefault="00083132">
      <w:pPr>
        <w:spacing w:before="114" w:line="222" w:lineRule="exact"/>
        <w:ind w:left="72"/>
        <w:textAlignment w:val="baseline"/>
        <w:rPr>
          <w:rFonts w:ascii="Verdana" w:eastAsia="Verdana" w:hAnsi="Verdana"/>
          <w:color w:val="000000"/>
          <w:sz w:val="18"/>
        </w:rPr>
      </w:pPr>
      <w:r>
        <w:rPr>
          <w:rFonts w:ascii="Verdana" w:eastAsia="Verdana" w:hAnsi="Verdana"/>
          <w:color w:val="000000"/>
          <w:sz w:val="18"/>
        </w:rPr>
        <w:t>This Statement is signed in two (2) copies in Adelaide on 6 December 2018</w:t>
      </w:r>
    </w:p>
    <w:p w:rsidR="00970F53" w:rsidRDefault="00083132">
      <w:pPr>
        <w:tabs>
          <w:tab w:val="left" w:pos="6264"/>
        </w:tabs>
        <w:spacing w:before="446" w:line="216" w:lineRule="exact"/>
        <w:ind w:left="1728"/>
        <w:textAlignment w:val="baseline"/>
        <w:rPr>
          <w:rFonts w:ascii="Verdana" w:eastAsia="Verdana" w:hAnsi="Verdana"/>
          <w:b/>
          <w:color w:val="000000"/>
          <w:spacing w:val="-1"/>
          <w:sz w:val="18"/>
        </w:rPr>
      </w:pPr>
      <w:r>
        <w:rPr>
          <w:rFonts w:ascii="Verdana" w:eastAsia="Verdana" w:hAnsi="Verdana"/>
          <w:b/>
          <w:color w:val="000000"/>
          <w:spacing w:val="-1"/>
          <w:sz w:val="18"/>
        </w:rPr>
        <w:t>On behalf o</w:t>
      </w:r>
      <w:bookmarkStart w:id="0" w:name="_GoBack"/>
      <w:bookmarkEnd w:id="0"/>
      <w:r>
        <w:rPr>
          <w:rFonts w:ascii="Verdana" w:eastAsia="Verdana" w:hAnsi="Verdana"/>
          <w:b/>
          <w:color w:val="000000"/>
          <w:spacing w:val="-1"/>
          <w:sz w:val="18"/>
        </w:rPr>
        <w:t>f</w:t>
      </w:r>
      <w:r>
        <w:rPr>
          <w:rFonts w:ascii="Verdana" w:eastAsia="Verdana" w:hAnsi="Verdana"/>
          <w:b/>
          <w:color w:val="000000"/>
          <w:spacing w:val="-1"/>
          <w:sz w:val="18"/>
        </w:rPr>
        <w:tab/>
      </w:r>
      <w:proofErr w:type="gramStart"/>
      <w:r>
        <w:rPr>
          <w:rFonts w:ascii="Verdana" w:eastAsia="Verdana" w:hAnsi="Verdana"/>
          <w:b/>
          <w:color w:val="000000"/>
          <w:spacing w:val="-1"/>
          <w:sz w:val="18"/>
        </w:rPr>
        <w:t>On</w:t>
      </w:r>
      <w:proofErr w:type="gramEnd"/>
      <w:r>
        <w:rPr>
          <w:rFonts w:ascii="Verdana" w:eastAsia="Verdana" w:hAnsi="Verdana"/>
          <w:b/>
          <w:color w:val="000000"/>
          <w:spacing w:val="-1"/>
          <w:sz w:val="18"/>
        </w:rPr>
        <w:t xml:space="preserve"> behalf of</w:t>
      </w:r>
    </w:p>
    <w:p w:rsidR="00970F53" w:rsidRDefault="00083132">
      <w:pPr>
        <w:tabs>
          <w:tab w:val="left" w:pos="5688"/>
        </w:tabs>
        <w:spacing w:before="5" w:after="29" w:line="225" w:lineRule="exact"/>
        <w:ind w:left="864"/>
        <w:textAlignment w:val="baseline"/>
        <w:rPr>
          <w:rFonts w:ascii="Verdana" w:eastAsia="Verdana" w:hAnsi="Verdana"/>
          <w:b/>
          <w:color w:val="000000"/>
          <w:spacing w:val="-1"/>
          <w:sz w:val="18"/>
        </w:rPr>
      </w:pPr>
      <w:r>
        <w:rPr>
          <w:rFonts w:ascii="Verdana" w:eastAsia="Verdana" w:hAnsi="Verdana"/>
          <w:b/>
          <w:color w:val="000000"/>
          <w:spacing w:val="-1"/>
          <w:sz w:val="18"/>
        </w:rPr>
        <w:t>The Australian Space Agency</w:t>
      </w:r>
      <w:r>
        <w:rPr>
          <w:rFonts w:ascii="Verdana" w:eastAsia="Verdana" w:hAnsi="Verdana"/>
          <w:b/>
          <w:color w:val="000000"/>
          <w:spacing w:val="-1"/>
          <w:sz w:val="18"/>
        </w:rPr>
        <w:tab/>
        <w:t>Nova Systems Australia</w:t>
      </w:r>
    </w:p>
    <w:p w:rsidR="00970F53" w:rsidRDefault="00970F53">
      <w:pPr>
        <w:spacing w:before="5" w:after="29" w:line="225" w:lineRule="exact"/>
        <w:sectPr w:rsidR="00970F53">
          <w:pgSz w:w="11914" w:h="16848"/>
          <w:pgMar w:top="900" w:right="1388" w:bottom="1752" w:left="1326" w:header="720" w:footer="720" w:gutter="0"/>
          <w:cols w:space="720"/>
        </w:sectPr>
      </w:pPr>
    </w:p>
    <w:p w:rsidR="00970F53" w:rsidRDefault="00FA5EE5">
      <w:pPr>
        <w:spacing w:after="466"/>
        <w:sectPr w:rsidR="00970F53">
          <w:type w:val="continuous"/>
          <w:pgSz w:w="11914" w:h="16848"/>
          <w:pgMar w:top="900" w:right="1668" w:bottom="1752" w:left="2626" w:header="720" w:footer="720" w:gutter="0"/>
          <w:cols w:space="720"/>
        </w:sectPr>
      </w:pPr>
      <w:r>
        <w:rPr>
          <w:noProof/>
          <w:lang w:val="en-AU" w:eastAsia="en-AU"/>
        </w:rPr>
        <w:drawing>
          <wp:inline distT="0" distB="0" distL="0" distR="0" wp14:anchorId="4C554286" wp14:editId="6737B77D">
            <wp:extent cx="4838700" cy="913130"/>
            <wp:effectExtent l="0" t="0" r="0" b="1270"/>
            <wp:docPr id="4" name="Picture 4" descr="Signatures" title="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8700" cy="913130"/>
                    </a:xfrm>
                    <a:prstGeom prst="rect">
                      <a:avLst/>
                    </a:prstGeom>
                  </pic:spPr>
                </pic:pic>
              </a:graphicData>
            </a:graphic>
          </wp:inline>
        </w:drawing>
      </w:r>
    </w:p>
    <w:p w:rsidR="00970F53" w:rsidRDefault="00083132">
      <w:pPr>
        <w:tabs>
          <w:tab w:val="left" w:pos="5832"/>
        </w:tabs>
        <w:spacing w:line="222" w:lineRule="exact"/>
        <w:ind w:left="1368"/>
        <w:textAlignment w:val="baseline"/>
        <w:rPr>
          <w:rFonts w:ascii="Verdana" w:eastAsia="Verdana" w:hAnsi="Verdana"/>
          <w:b/>
          <w:color w:val="000000"/>
          <w:spacing w:val="-1"/>
          <w:sz w:val="18"/>
        </w:rPr>
      </w:pPr>
      <w:proofErr w:type="spellStart"/>
      <w:r>
        <w:rPr>
          <w:rFonts w:ascii="Verdana" w:eastAsia="Verdana" w:hAnsi="Verdana"/>
          <w:b/>
          <w:color w:val="000000"/>
          <w:spacing w:val="-1"/>
          <w:sz w:val="18"/>
        </w:rPr>
        <w:t>Dr</w:t>
      </w:r>
      <w:proofErr w:type="spellEnd"/>
      <w:r>
        <w:rPr>
          <w:rFonts w:ascii="Verdana" w:eastAsia="Verdana" w:hAnsi="Verdana"/>
          <w:b/>
          <w:color w:val="000000"/>
          <w:spacing w:val="-1"/>
          <w:sz w:val="18"/>
        </w:rPr>
        <w:t xml:space="preserve"> Megan Clark AC</w:t>
      </w:r>
      <w:r>
        <w:rPr>
          <w:rFonts w:ascii="Verdana" w:eastAsia="Verdana" w:hAnsi="Verdana"/>
          <w:b/>
          <w:color w:val="000000"/>
          <w:spacing w:val="-1"/>
          <w:sz w:val="18"/>
        </w:rPr>
        <w:tab/>
        <w:t>Mr Steven Robinson</w:t>
      </w:r>
    </w:p>
    <w:p w:rsidR="00970F53" w:rsidRDefault="00083132">
      <w:pPr>
        <w:tabs>
          <w:tab w:val="left" w:pos="4896"/>
        </w:tabs>
        <w:spacing w:line="214" w:lineRule="exact"/>
        <w:ind w:left="504"/>
        <w:textAlignment w:val="baseline"/>
        <w:rPr>
          <w:rFonts w:ascii="Verdana" w:eastAsia="Verdana" w:hAnsi="Verdana"/>
          <w:b/>
          <w:color w:val="000000"/>
          <w:sz w:val="18"/>
        </w:rPr>
      </w:pPr>
      <w:r>
        <w:rPr>
          <w:rFonts w:ascii="Verdana" w:eastAsia="Verdana" w:hAnsi="Verdana"/>
          <w:b/>
          <w:color w:val="000000"/>
          <w:sz w:val="18"/>
        </w:rPr>
        <w:t>Head of the Australian Space Agency</w:t>
      </w:r>
      <w:r>
        <w:rPr>
          <w:rFonts w:ascii="Verdana" w:eastAsia="Verdana" w:hAnsi="Verdana"/>
          <w:b/>
          <w:color w:val="000000"/>
          <w:sz w:val="18"/>
        </w:rPr>
        <w:tab/>
        <w:t>Nova Systems Chief Executive Officer</w:t>
      </w:r>
    </w:p>
    <w:sectPr w:rsidR="00970F53">
      <w:type w:val="continuous"/>
      <w:pgSz w:w="11914" w:h="16848"/>
      <w:pgMar w:top="900" w:right="1323" w:bottom="1752" w:left="13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2B0AF0"/>
    <w:multiLevelType w:val="multilevel"/>
    <w:tmpl w:val="8A50BBF4"/>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83132"/>
    <w:rsid w:val="005A25BB"/>
    <w:rsid w:val="005F3834"/>
    <w:rsid w:val="00970F53"/>
    <w:rsid w:val="00FA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C04B2-A8EF-46AB-B3E7-9589077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pace.gov.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Biggin, Nikki</dc:creator>
  <cp:lastModifiedBy>Francis, Sophie</cp:lastModifiedBy>
  <cp:revision>3</cp:revision>
  <dcterms:created xsi:type="dcterms:W3CDTF">2019-04-04T23:38:00Z</dcterms:created>
  <dcterms:modified xsi:type="dcterms:W3CDTF">2019-04-05T04:34:00Z</dcterms:modified>
</cp:coreProperties>
</file>